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ind w:left="2126" w:firstLine="709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-246368</wp:posOffset>
            </wp:positionH>
            <wp:positionV relativeFrom="line">
              <wp:posOffset>-223436</wp:posOffset>
            </wp:positionV>
            <wp:extent cx="1716372" cy="1565902"/>
            <wp:effectExtent l="0" t="0" r="0" b="0"/>
            <wp:wrapNone/>
            <wp:docPr id="1073741825" name="officeArt object" descr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1" descr="images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372" cy="15659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Association PUHI</w:t>
      </w:r>
    </w:p>
    <w:p>
      <w:pPr>
        <w:pStyle w:val="Standard"/>
        <w:ind w:left="2126" w:firstLine="709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Boulevard de la For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31</w:t>
      </w:r>
    </w:p>
    <w:p>
      <w:pPr>
        <w:pStyle w:val="Standard"/>
        <w:ind w:left="2126" w:firstLine="709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1009 Pully</w:t>
      </w:r>
    </w:p>
    <w:p>
      <w:pPr>
        <w:pStyle w:val="Standard"/>
        <w:ind w:left="2126" w:firstLine="709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associationpuhi@gmail.org</w:t>
        <w:tab/>
        <w:tab/>
        <w:tab/>
        <w:tab/>
      </w:r>
    </w:p>
    <w:p>
      <w:pPr>
        <w:pStyle w:val="Standard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Standard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434"/>
        </w:tabs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         </w:t>
      </w:r>
    </w:p>
    <w:p>
      <w:pPr>
        <w:pStyle w:val="Standard"/>
        <w:tabs>
          <w:tab w:val="left" w:pos="4434"/>
        </w:tabs>
        <w:jc w:val="right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434"/>
        </w:tabs>
        <w:jc w:val="right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    Direction de l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Urbanisme et de l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Environnement</w:t>
      </w:r>
      <w:r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Damataire 13</w:t>
      </w:r>
      <w:r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1009 Pully</w:t>
      </w:r>
    </w:p>
    <w:p>
      <w:pPr>
        <w:pStyle w:val="Standard"/>
        <w:ind w:left="3612" w:firstLine="708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3612" w:firstLine="708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3612" w:firstLine="708"/>
        <w:jc w:val="right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Pully, le 25 mars  2024</w:t>
      </w:r>
    </w:p>
    <w:p>
      <w:pPr>
        <w:pStyle w:val="Standard"/>
        <w:ind w:left="3612" w:firstLine="708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3612" w:firstLine="708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3612" w:firstLine="708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3612" w:firstLine="708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Opposition mise 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l'enqu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 Chamblandes 35, 1009 Pully, Camac 229782,  parcelle 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3538 ECA 1907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Propri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taire(s) : KIARAPHI SA 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Madame, Monsieur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la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sente, l'association PUHI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ses membres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formulent une opposition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mise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l'enqu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e. Nous rappelons la 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cessit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agir pour modifier nos habitudes de construction et esp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rer maintenir des conditions de vie acceptables pour nous et les 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rations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venir. Ceci implique de refuser des projets con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us au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triment du vivant et compromettant la qualit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vie des</w:t>
      </w:r>
      <w:r>
        <w:rPr>
          <w:rStyle w:val="Aucun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"http://habitant.es/"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habitant.es</w:t>
      </w:r>
      <w:r>
        <w:rPr/>
        <w:fldChar w:fldCharType="end" w:fldLock="0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de la commune.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Chaque abattage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arbre ou disparition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espace naturel a des cons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quences inestimables sur la population et la biodiversit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Ces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ments nous rendent des services vitaux et sont nos meilleurs alli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pour prot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ger nos villes et habitats des cons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quences du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glement climatique. A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heure actuelle, urbaniser sans prendre en compte ces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ments indispensables 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 plus concevable. Des solutions permettant de construire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«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avec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et non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contre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notre environnement existent, et ce sont celles-ci qui doivent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privil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afin de garantir un avenir serein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ensemble de la population.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Notre opposition est donc motiv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par les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ments suivants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jc w:val="both"/>
        <w:rPr>
          <w:rStyle w:val="Aucu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1. Recommandations de la Commission Consultative d</w:t>
      </w:r>
      <w:r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Urbanisme ( CCU).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Ce projet a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fait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objet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une mise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enqu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te du 17 septembre au 16 octobre 2022. Celui-ci avait soulev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21 oppositions ainsi que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opposition de notre association co-sign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 par 51 personnes. La commission consultative avait 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avis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gativement et le projet avait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refus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par la Municipalit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sur la base des articles 9, 32 et 43 du RCATC, et de plusieurs crit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res que nous reprenons ici: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shd w:val="nil" w:color="auto" w:fill="auto"/>
          <w:rtl w:val="0"/>
          <w:lang w:val="fr-FR"/>
        </w:rPr>
        <w:t xml:space="preserve">- </w:t>
      </w:r>
      <w:r>
        <w:rPr>
          <w:rStyle w:val="Aucun"/>
          <w:shd w:val="nil" w:color="auto" w:fill="auto"/>
          <w:rtl w:val="0"/>
          <w:lang w:val="fr-FR"/>
        </w:rPr>
        <w:t>“</w:t>
      </w:r>
      <w:r>
        <w:rPr>
          <w:rStyle w:val="Aucun"/>
          <w:shd w:val="nil" w:color="auto" w:fill="auto"/>
          <w:rtl w:val="0"/>
          <w:lang w:val="fr-FR"/>
        </w:rPr>
        <w:t>destruction</w:t>
      </w:r>
      <w:r>
        <w:rPr>
          <w:rStyle w:val="Aucun"/>
          <w:shd w:val="nil" w:color="auto" w:fill="auto"/>
          <w:rtl w:val="0"/>
          <w:lang w:val="fr-FR"/>
        </w:rPr>
        <w:t xml:space="preserve"> de la totalit</w:t>
      </w:r>
      <w:r>
        <w:rPr>
          <w:rStyle w:val="Aucun"/>
          <w:shd w:val="nil" w:color="auto" w:fill="auto"/>
          <w:rtl w:val="0"/>
          <w:lang w:val="fr-FR"/>
        </w:rPr>
        <w:t xml:space="preserve">é </w:t>
      </w:r>
      <w:r>
        <w:rPr>
          <w:rStyle w:val="Aucun"/>
          <w:shd w:val="nil" w:color="auto" w:fill="auto"/>
          <w:rtl w:val="0"/>
          <w:lang w:val="fr-FR"/>
        </w:rPr>
        <w:t>de l</w:t>
      </w:r>
      <w:r>
        <w:rPr>
          <w:rStyle w:val="Aucun"/>
          <w:shd w:val="nil" w:color="auto" w:fill="auto"/>
          <w:rtl w:val="0"/>
          <w:lang w:val="fr-FR"/>
        </w:rPr>
        <w:t>’</w:t>
      </w:r>
      <w:r>
        <w:rPr>
          <w:rStyle w:val="Aucun"/>
          <w:shd w:val="nil" w:color="auto" w:fill="auto"/>
          <w:rtl w:val="0"/>
          <w:lang w:val="fr-FR"/>
        </w:rPr>
        <w:t>arborisation de la parcelle</w:t>
      </w:r>
      <w:r>
        <w:rPr>
          <w:rStyle w:val="Aucun"/>
          <w:shd w:val="nil" w:color="auto" w:fill="auto"/>
          <w:rtl w:val="0"/>
          <w:lang w:val="fr-FR"/>
        </w:rPr>
        <w:t>”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shd w:val="nil" w:color="auto" w:fill="auto"/>
          <w:rtl w:val="0"/>
          <w:lang w:val="fr-FR"/>
        </w:rPr>
        <w:t xml:space="preserve">- </w:t>
      </w:r>
      <w:r>
        <w:rPr>
          <w:rStyle w:val="Aucun"/>
          <w:shd w:val="nil" w:color="auto" w:fill="auto"/>
          <w:rtl w:val="0"/>
          <w:lang w:val="fr-FR"/>
        </w:rPr>
        <w:t xml:space="preserve">“ </w:t>
      </w:r>
      <w:r>
        <w:rPr>
          <w:rStyle w:val="Aucun"/>
          <w:shd w:val="nil" w:color="auto" w:fill="auto"/>
          <w:rtl w:val="0"/>
          <w:lang w:val="fr-FR"/>
        </w:rPr>
        <w:t>implantation trop invasive sur les arbres</w:t>
      </w:r>
      <w:r>
        <w:rPr>
          <w:rStyle w:val="Aucun"/>
          <w:shd w:val="nil" w:color="auto" w:fill="auto"/>
          <w:rtl w:val="0"/>
          <w:lang w:val="fr-FR"/>
        </w:rPr>
        <w:t>”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shd w:val="nil" w:color="auto" w:fill="auto"/>
          <w:rtl w:val="0"/>
          <w:lang w:val="fr-FR"/>
        </w:rPr>
        <w:t xml:space="preserve">- </w:t>
      </w:r>
      <w:r>
        <w:rPr>
          <w:rStyle w:val="Aucun"/>
          <w:shd w:val="nil" w:color="auto" w:fill="auto"/>
          <w:rtl w:val="0"/>
          <w:lang w:val="fr-FR"/>
        </w:rPr>
        <w:t>“</w:t>
      </w:r>
      <w:r>
        <w:rPr>
          <w:rStyle w:val="Aucun"/>
          <w:shd w:val="nil" w:color="auto" w:fill="auto"/>
          <w:rtl w:val="0"/>
          <w:lang w:val="fr-FR"/>
        </w:rPr>
        <w:t>canopes</w:t>
      </w:r>
      <w:r>
        <w:rPr>
          <w:rStyle w:val="Aucun"/>
          <w:shd w:val="nil" w:color="auto" w:fill="auto"/>
          <w:rtl w:val="0"/>
          <w:lang w:val="fr-FR"/>
        </w:rPr>
        <w:t xml:space="preserve"> cons</w:t>
      </w:r>
      <w:r>
        <w:rPr>
          <w:rStyle w:val="Aucun"/>
          <w:shd w:val="nil" w:color="auto" w:fill="auto"/>
          <w:rtl w:val="0"/>
          <w:lang w:val="fr-FR"/>
        </w:rPr>
        <w:t>é</w:t>
      </w:r>
      <w:r>
        <w:rPr>
          <w:rStyle w:val="Aucun"/>
          <w:shd w:val="nil" w:color="auto" w:fill="auto"/>
          <w:rtl w:val="0"/>
          <w:lang w:val="fr-FR"/>
        </w:rPr>
        <w:t xml:space="preserve">quente </w:t>
      </w:r>
      <w:r>
        <w:rPr>
          <w:rStyle w:val="Aucun"/>
          <w:shd w:val="nil" w:color="auto" w:fill="auto"/>
          <w:rtl w:val="0"/>
          <w:lang w:val="fr-FR"/>
        </w:rPr>
        <w:t xml:space="preserve">à </w:t>
      </w:r>
      <w:r>
        <w:rPr>
          <w:rStyle w:val="Aucun"/>
          <w:shd w:val="nil" w:color="auto" w:fill="auto"/>
          <w:rtl w:val="0"/>
          <w:lang w:val="fr-FR"/>
        </w:rPr>
        <w:t>pr</w:t>
      </w:r>
      <w:r>
        <w:rPr>
          <w:rStyle w:val="Aucun"/>
          <w:shd w:val="nil" w:color="auto" w:fill="auto"/>
          <w:rtl w:val="0"/>
          <w:lang w:val="fr-FR"/>
        </w:rPr>
        <w:t>é</w:t>
      </w:r>
      <w:r>
        <w:rPr>
          <w:rStyle w:val="Aucun"/>
          <w:shd w:val="nil" w:color="auto" w:fill="auto"/>
          <w:rtl w:val="0"/>
          <w:lang w:val="fr-FR"/>
        </w:rPr>
        <w:t>server</w:t>
      </w:r>
      <w:r>
        <w:rPr>
          <w:rStyle w:val="Aucun"/>
          <w:shd w:val="nil" w:color="auto" w:fill="auto"/>
          <w:rtl w:val="0"/>
          <w:lang w:val="fr-FR"/>
        </w:rPr>
        <w:t>”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“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dimension et implantation du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timent inadapt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la parcelle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“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int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gration non-harmonieuse du projet dans la topographie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“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ation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une zone bitumin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au moins 15 m entre le nouveau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timent et le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timent voisin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“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impact des travaux sur le c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dre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dont le syst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me racinaire subira des cons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quences lors du chantier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Plusieurs solutions permettant de 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server une plus grande partie des arbres avaient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propos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es par la CCU et figuraient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galement dans le refus du permis de construire (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“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construire un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timent de taille plus modeste au sud-est, valoriser le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timent existant en construisant une extension etc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”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). Ceci aurait permis de conserver plus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arbres sur la parcelle, de 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duire la min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ralisation de la parcelle et de maintenir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aspect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caract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ristique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de cette villa.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s consultation des nouveaux plans mis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enqu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te, nous constatons avec regret que le projet propos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aujourd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hui est tr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 peu diff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rent du projet de 2022.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implantation, la forme, la taille du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timent sont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peu de chose 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gales. Son int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gration dans la topographie, le quartier et sur la parcelle 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en sont donc pas am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lior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es et reste aussi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“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non-harmonieuse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auparavant. La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suppression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des arbres, la cr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ation des places de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stationnement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ext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rieur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implique qu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une bande bitumineuse entre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acc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 au nouveau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timent et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acc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 du voisin est toujours 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sente, le c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dre reste menac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, et le nombre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arbre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abattre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est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peu de chose 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 identique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, avec des mesures de compensation trop minimalistes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Seul le parking souterrain a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duit et ne couvre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sormais plus une surface sup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rieur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emprise au sol du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timent, ce que nous saluons comme changement. Cependant nous nous questionnons tout de m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me sur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emprise au sol totale du projet qui reste cons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quente. Le peu de changements propos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s ne tient pas compte des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recommandations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mises en 2022 et nous comprenons difficilement ce qui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nerait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la Municipalit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revenir sur sa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cision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et accorder ce permis de construire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rtl w:val="0"/>
          <w:lang w:val="fr-FR"/>
        </w:rPr>
        <w:t>2</w:t>
      </w:r>
      <w:r>
        <w:rPr>
          <w:rStyle w:val="Aucun"/>
          <w:b w:val="1"/>
          <w:bCs w:val="1"/>
          <w:rtl w:val="0"/>
          <w:lang w:val="fr-FR"/>
        </w:rPr>
        <w:t>.</w:t>
      </w:r>
      <w:r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Patrimoine arbor</w:t>
      </w:r>
      <w:r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</w:p>
    <w:p>
      <w:pPr>
        <w:pStyle w:val="Normal.0"/>
        <w:jc w:val="both"/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2.1 Mesures de compensation insuffisantes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Le nombre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arbres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abattre dans cette deuxi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me mouture du projet reste aussi cons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quent et la projet induit la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destruction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quasi totale de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arborisation de la parcelle.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Le projet 2022 entrainait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abattage de 13 arbre ( un de ces arbres a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à 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abattu depuis).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La version 2024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entraine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abattage de 10 ou 11 arbres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? S</w:t>
      </w:r>
      <w:r>
        <w:rPr>
          <w:rtl w:val="0"/>
          <w:lang w:val="fr-FR"/>
        </w:rPr>
        <w:t>ur le plan de sous-sol ext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 </w:t>
      </w:r>
      <w:r>
        <w:rPr>
          <w:rtl w:val="0"/>
          <w:lang w:val="fr-FR"/>
        </w:rPr>
        <w:t>ext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 </w:t>
      </w:r>
      <w:r>
        <w:rPr>
          <w:rtl w:val="0"/>
          <w:lang w:val="fr-FR"/>
        </w:rPr>
        <w:t xml:space="preserve">nous comptons 11 arbres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abattre entour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en jaune, et 10 arbres list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comme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abattre</w:t>
      </w:r>
      <w:r>
        <w:rPr>
          <w:rtl w:val="0"/>
          <w:lang w:val="fr-FR"/>
        </w:rPr>
        <w:t>.  Ce nombre reste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quent bien que l</w:t>
      </w:r>
      <w:r>
        <w:rPr>
          <w:rtl w:val="0"/>
          <w:lang w:val="fr-FR"/>
        </w:rPr>
        <w:t xml:space="preserve">a discordance </w:t>
      </w:r>
      <w:r>
        <w:rPr>
          <w:rtl w:val="0"/>
          <w:lang w:val="fr-FR"/>
        </w:rPr>
        <w:t xml:space="preserve">entre le plan et la liste </w:t>
      </w:r>
      <w:r>
        <w:rPr>
          <w:rtl w:val="0"/>
          <w:lang w:val="fr-FR"/>
        </w:rPr>
        <w:t>ne permet</w:t>
      </w:r>
      <w:r>
        <w:rPr>
          <w:rtl w:val="0"/>
          <w:lang w:val="fr-FR"/>
        </w:rPr>
        <w:t>te</w:t>
      </w:r>
      <w:r>
        <w:rPr>
          <w:rtl w:val="0"/>
          <w:lang w:val="fr-FR"/>
        </w:rPr>
        <w:t xml:space="preserve"> pas de connaitre quel est le nombre exacte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abattre.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On rel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ve que les mesures de compensation sont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ailleurs insuffisante car il est 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vu de replanter seulement 4 arbres pour les 10 ou 11 abattus. Nous saluons la proposition de planter  3 haies vives mais cela ne remplace pas les 7 ou 8 arbres manquants !</w:t>
      </w:r>
    </w:p>
    <w:p>
      <w:pPr>
        <w:pStyle w:val="Normal.0"/>
        <w:jc w:val="both"/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De plus nous 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cisons que le mot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compensation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est un leurre puisqu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en aucune fa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on ne nouvelles plantations ne peuvent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compenser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dans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imm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diat les services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cosyst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miques rendus par des arbres matures et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en place. </w:t>
      </w:r>
      <w:r>
        <w:rPr>
          <w:rtl w:val="0"/>
          <w:lang w:val="fr-FR"/>
        </w:rPr>
        <w:t>De plus, calculer des mesures de compensation en se basant uniquement sur un nombre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arbre abattu n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quivaut pas la valeur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elle de ce qui sera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truit. Ces arbres font partie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ecosyst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subtile et complexe dont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ensemble sera perdu lors de la destruction de ce jardin, et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sera impossible de recr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sur  un terrain fortement remani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artificialis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  <w:r>
        <w:rPr>
          <w:rtl w:val="0"/>
          <w:lang w:val="fr-FR"/>
        </w:rPr>
        <w:t xml:space="preserve">Dans le cas d'un jardin ancien, chaque arbre, arbuste et haie contribue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urbain vital pour la commune. La disparition de tels espaces compromet le maintien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trame verte fonctionnelle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ensemble de la commune,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nant un effondrement de la biodiversit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rioration de notre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vie.</w:t>
      </w:r>
    </w:p>
    <w:p>
      <w:pPr>
        <w:pStyle w:val="Normal.0"/>
        <w:jc w:val="both"/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Nous constatons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galement que le rapport ne fait aucune mention des haies, arbustes qui au m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me titre que les arbres sont  prot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s par la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nouvelle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LPrPNP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Le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patrimoine arbor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»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est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fini comme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les arbres, les all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es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'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arbres, les cordons bois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s, les bosquets, les haies vives, les buissons, les vergers et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fruitiers haute tige non soumis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la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gislation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foresti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fr-FR"/>
        </w:rPr>
        <w:t>La LPrPNP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cifie que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le patrimoine arbor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est conserv</w:t>
      </w:r>
      <w:r>
        <w:rPr>
          <w:rtl w:val="0"/>
          <w:lang w:val="fr-FR"/>
        </w:rPr>
        <w:t xml:space="preserve">é » </w:t>
      </w:r>
      <w:r>
        <w:rPr>
          <w:rtl w:val="0"/>
          <w:lang w:val="fr-FR"/>
        </w:rPr>
        <w:t>(art 14 al. 1). L</w:t>
      </w:r>
      <w:r>
        <w:rPr>
          <w:rtl w:val="0"/>
          <w:lang w:val="fr-FR"/>
        </w:rPr>
        <w:t xml:space="preserve">’ </w:t>
      </w:r>
      <w:r>
        <w:rPr>
          <w:rtl w:val="0"/>
          <w:lang w:val="fr-FR"/>
        </w:rPr>
        <w:t>objectif de la LPrPNP est non-seulement la sauvegarde mais aussi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du patrimoine arbor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l'ensemble du territoire cantonal (art.1 al.2 let. g LPrPNP).</w:t>
      </w:r>
      <w:r>
        <w:rPr>
          <w:rtl w:val="0"/>
          <w:lang w:val="fr-FR"/>
        </w:rPr>
        <w:t xml:space="preserve">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projet ne permet pas le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veloppement du patrimoine arbor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raison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sol fortement remani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grande proximit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arbres conserv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avec la zone excav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e. Les atteintes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leur syst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 racinaire durant le chantier et le peu de place qui leur sera accord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une fois le potentiel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timent construit, met en 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ril leur survie et bon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veloppement.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Toute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rogation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principe 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ral doit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galement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pondre aux exigences de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art. 15 LPrPNP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et les abattages sont autoris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en cas </w:t>
      </w:r>
      <w:r>
        <w:rPr>
          <w:rStyle w:val="Aucun"/>
          <w:rtl w:val="0"/>
          <w:lang w:val="fr-FR"/>
        </w:rPr>
        <w:t xml:space="preserve">de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risques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curitaires ou phytosanitaires av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 xml:space="preserve">, </w:t>
      </w:r>
      <w:r>
        <w:rPr>
          <w:rStyle w:val="Aucun"/>
          <w:rtl w:val="0"/>
          <w:lang w:val="fr-FR"/>
        </w:rPr>
        <w:t>une entrave av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exploitation agricole</w:t>
      </w:r>
      <w:r>
        <w:rPr>
          <w:rStyle w:val="Aucun"/>
          <w:rtl w:val="0"/>
          <w:lang w:val="fr-FR"/>
        </w:rPr>
        <w:t xml:space="preserve">, </w:t>
      </w:r>
      <w:r>
        <w:rPr>
          <w:rStyle w:val="Aucun"/>
          <w:rtl w:val="0"/>
          <w:lang w:val="fr-FR"/>
        </w:rPr>
        <w:t>ou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</w:t>
      </w:r>
      <w:r>
        <w:rPr>
          <w:rStyle w:val="Aucun"/>
          <w:rtl w:val="0"/>
          <w:lang w:val="fr-FR"/>
        </w:rPr>
        <w:t>i</w:t>
      </w:r>
      <w:r>
        <w:rPr>
          <w:rStyle w:val="Aucun"/>
          <w:rtl w:val="0"/>
          <w:lang w:val="fr-FR"/>
        </w:rPr>
        <w:t>fs de construction ou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nagements</w:t>
      </w:r>
      <w:r>
        <w:rPr>
          <w:rStyle w:val="Aucun"/>
          <w:rtl w:val="0"/>
          <w:lang w:val="fr-FR"/>
        </w:rPr>
        <w:t>.</w:t>
      </w:r>
      <w:r>
        <w:rPr>
          <w:rStyle w:val="Aucun"/>
          <w:rtl w:val="0"/>
          <w:lang w:val="fr-FR"/>
        </w:rPr>
        <w:t> »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tl w:val="0"/>
          <w:lang w:val="fr-FR"/>
        </w:rPr>
        <w:t>Or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dossier ne mentionne aucun motif d'abattage conform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l'article 15 de la LPrPNP.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Seul 3 arbres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sentes un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 de sant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selon le rapport Ellexa,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demandeur n'a pas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montr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la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servation de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arbre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posait des difficult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pratiques ou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conomiques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nagement ou construction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ni justifi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l'abattage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tait envisag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dernier recours.. 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Selon la loi, l'abattage doit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autoris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ultima ratio, privil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giant la protection plut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que la destruction, conform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 au principe de la subordination des mesures (art. 18 LPN). Des possibilit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de mieux adapter le projet aux arbres existants doivent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tudi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es.</w:t>
      </w:r>
    </w:p>
    <w:p>
      <w:pPr>
        <w:pStyle w:val="Normal.0"/>
        <w:jc w:val="both"/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2</w:t>
      </w:r>
      <w:r>
        <w:rPr>
          <w:b w:val="1"/>
          <w:bCs w:val="1"/>
          <w:rtl w:val="0"/>
          <w:lang w:val="fr-FR"/>
        </w:rPr>
        <w:t>.2 Etat de sant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des arbres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Il semblerait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 les services de la Municipalit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que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tat de sant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des arbres est mauvais suite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des tailles mal effectu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es et que cela justifie leur abattage.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une part, des soins inappropri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 men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 par le pass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ne devraient pas donner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autorisation de supprimer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un bloc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entier de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arborisation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une parcelle sans compensation ou amende en cons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quence.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autre part dans le rapport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Ellexa figurant dans les documents mis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enqu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te, il est fait mention uniquement de 3 arbres en mauvais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tat de sant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( 2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ch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taigniers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et un Picea), et non de 10 ou 11 arbres malades qu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il faudrait abattre!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Nous notons par ailleurs que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le rapport ne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crit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tat que de 9 arbres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alors que sur le plan de sous-sol ext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rieur nous comptons 11 arbres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abattre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Si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s expertise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un plus grand nombre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arbre que ceux indiqu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s dans le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rapport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devaient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tre malade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, ne serait-il pas possible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envisager un remplacement progressif des arbres et non un abattage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un bloc afin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avoir un impact moins cons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quent et radical sur la faune et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entomofaune qui sont li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es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ces arbres?</w:t>
      </w:r>
    </w:p>
    <w:p>
      <w:pPr>
        <w:pStyle w:val="Normal.0"/>
        <w:jc w:val="both"/>
        <w:rPr>
          <w:rStyle w:val="Aucun"/>
          <w:shd w:val="nil" w:color="auto" w:fill="auto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Face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l'urgence environnementale, chaque arbre sacrifi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sente une perte consid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rable aux cons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quences sous-estim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es. Attendre que des mesures de compensation prennent le relais n'est plus envisageable, car un jeune arbre mettra des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cennies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 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galer les services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cosyst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miques d'un arbre mature. Il est imp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ratif de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server les individus existants et ceci ne devrait pas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tre un effort, mais une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vidence pour maintenir la biodiversit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ainsi qu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qualit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vie pour nous et les 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rations futures.</w:t>
      </w:r>
      <w:r>
        <w:rPr>
          <w:rStyle w:val="Aucun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Aucun"/>
          <w:b w:val="1"/>
          <w:bCs w:val="1"/>
          <w:shd w:val="nil" w:color="auto" w:fill="auto"/>
        </w:rPr>
      </w:pPr>
      <w:r>
        <w:rPr>
          <w:rStyle w:val="Aucun"/>
          <w:b w:val="1"/>
          <w:bCs w:val="1"/>
          <w:shd w:val="nil" w:color="auto" w:fill="auto"/>
          <w:rtl w:val="0"/>
          <w:lang w:val="fr-FR"/>
        </w:rPr>
        <w:t>2</w:t>
      </w:r>
      <w:r>
        <w:rPr>
          <w:b w:val="1"/>
          <w:bCs w:val="1"/>
          <w:rtl w:val="0"/>
          <w:lang w:val="fr-FR"/>
        </w:rPr>
        <w:t>.3 Atteintes au syst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me racinaire</w:t>
      </w:r>
    </w:p>
    <w:p>
      <w:pPr>
        <w:pStyle w:val="Normal.0"/>
        <w:jc w:val="both"/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Bien que plusieurs arbres de la parcelle soient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s, il convient de noter la grande proximit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ceux-ci avec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excavation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vue. Il est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vident que leur syst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racinaire serait menac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durant un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ventuel chantier et que leur survie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moyen/long terme ne serait pas garantie.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  <w:lang w:val="fr-FR"/>
        </w:rPr>
        <w:t xml:space="preserve">Si la construction devait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autoris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on peut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se demander si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espace vital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siduel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serait suffisant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des arbres ( couronne + 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racinaire) ?</w:t>
      </w:r>
      <w:r>
        <w:rPr>
          <w:rtl w:val="0"/>
          <w:lang w:val="fr-FR"/>
        </w:rPr>
        <w:t xml:space="preserve"> Une surveillance du traitement des arbres durant le chantier doit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effectu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la commune.</w:t>
      </w:r>
    </w:p>
    <w:p>
      <w:pPr>
        <w:pStyle w:val="Normal.0"/>
        <w:jc w:val="both"/>
        <w:rPr>
          <w:rStyle w:val="Aucun"/>
        </w:rPr>
      </w:pPr>
      <w:r>
        <w:rPr>
          <w:rtl w:val="0"/>
          <w:lang w:val="fr-FR"/>
        </w:rPr>
        <w:t>La norme SIA 318</w:t>
      </w:r>
      <w:r>
        <w:rPr>
          <w:rtl w:val="0"/>
          <w:lang w:val="fr-FR"/>
        </w:rPr>
        <w:t xml:space="preserve">  « </w:t>
      </w:r>
      <w:r>
        <w:rPr>
          <w:rtl w:val="0"/>
          <w:lang w:val="fr-FR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nagements ext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rieurs </w:t>
      </w:r>
      <w:r>
        <w:rPr>
          <w:rtl w:val="0"/>
          <w:lang w:val="fr-FR"/>
        </w:rPr>
        <w:t xml:space="preserve">» </w:t>
      </w:r>
      <w:r>
        <w:rPr>
          <w:rtl w:val="0"/>
          <w:lang w:val="fr-FR"/>
        </w:rPr>
        <w:t>fixe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espace vital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arbre, cependant, les normes SIA sont fix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pour convenir au domaine de la construction et non au bien-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des arbres.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application de cette norme entre en conflit avec la nouvelle LPrPNP et le projet doit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revu en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quence.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Nous demandons si seront respect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les crit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 suivants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Respect des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normes VSS 40577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dition 2019 - Espaces verts, protection des arbres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Compactage et imperm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abilisation du sol dans la zone racinaire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Excavations et travaux de fouille dans la zone racinaire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Dommages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couronne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Circulation dans la zone racinaire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Accompagnement du chantier par un bureau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nieurs sp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cialis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  <w:r>
        <w:rPr>
          <w:rtl w:val="0"/>
          <w:lang w:val="fr-FR"/>
        </w:rPr>
        <w:t xml:space="preserve"> </w:t>
      </w:r>
    </w:p>
    <w:p>
      <w:pPr>
        <w:pStyle w:val="List Paragraph"/>
        <w:bidi w:val="0"/>
        <w:ind w:left="250" w:right="0" w:hanging="250"/>
        <w:jc w:val="both"/>
        <w:rPr>
          <w:rStyle w:val="Aucun"/>
          <w:rtl w:val="0"/>
        </w:rPr>
      </w:pPr>
    </w:p>
    <w:p>
      <w:pPr>
        <w:pStyle w:val="Normal.0"/>
        <w:shd w:val="clear" w:color="auto" w:fill="ffffff"/>
        <w:jc w:val="both"/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rtl w:val="0"/>
          <w:lang w:val="fr-FR"/>
        </w:rPr>
        <w:t>3</w:t>
      </w:r>
      <w:r>
        <w:rPr>
          <w:rStyle w:val="Aucun"/>
          <w:b w:val="1"/>
          <w:bCs w:val="1"/>
          <w:rtl w:val="0"/>
          <w:lang w:val="fr-FR"/>
        </w:rPr>
        <w:t>.</w:t>
      </w:r>
      <w:r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Services ecosyst</w:t>
      </w:r>
      <w:r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miques rendu</w:t>
      </w:r>
      <w:r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</w:t>
      </w:r>
    </w:p>
    <w:p>
      <w:pPr>
        <w:pStyle w:val="Normal.0"/>
        <w:shd w:val="clear" w:color="auto" w:fill="ffffff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Outre les services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cosyst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miques tels que la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gulation des temp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ratures, l'infiltration des eaux de pluie, la protection contre les inondations, la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duction du CO2 et des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lots de chaleur, des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tudes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centes soulignent l'impact positif des arbres sur le bien-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mental. L'h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pital de Central Park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New York a observ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gu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rison plus rapide chez les patients avec vue sur les arbres, adaptant actuellement ses espaces en cons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quence. Une autre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tude indique que les enfants traversant des zones bois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pour aller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cole obtiennent de meilleurs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sultats scolaires. Penser nos habitats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avec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arbres plut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 que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contre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eux augmente la qualit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vie des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"http://habitant.es/"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habitant.es</w:t>
      </w:r>
      <w:r>
        <w:rPr/>
        <w:fldChar w:fldCharType="end" w:fldLock="0"/>
      </w:r>
      <w:r>
        <w:rPr>
          <w:rStyle w:val="Aucun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repr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sente une plus-value pour les logements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venir.</w:t>
      </w:r>
    </w:p>
    <w:p>
      <w:pPr>
        <w:pStyle w:val="Normal.0"/>
        <w:shd w:val="clear" w:color="auto" w:fill="ffffff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Bien que les mesures de "compensation" soient souhaitables, elles ne peuvent remplacer les services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cosyst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miques essentiels fournis par les arbres matures et leur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cosyst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complexe. Les jeunes plantations sur un sol remani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 peuvent compenser dans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diat la perte d'un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cosyst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velopp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sur plusieurs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cennies.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impact du chantier sur la qualit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sol et l'espace limit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aux nouveaux arbres les emp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cheront d'atteindre la 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envergure que les arbres existants.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rtl w:val="0"/>
          <w:lang w:val="fr-FR"/>
        </w:rPr>
        <w:t>4</w:t>
      </w:r>
      <w:r>
        <w:rPr>
          <w:rStyle w:val="Aucun"/>
          <w:b w:val="1"/>
          <w:bCs w:val="1"/>
          <w:rtl w:val="0"/>
          <w:lang w:val="fr-FR"/>
        </w:rPr>
        <w:t xml:space="preserve">. </w:t>
      </w:r>
      <w:r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Faune et Flore</w:t>
      </w:r>
    </w:p>
    <w:p>
      <w:pPr>
        <w:pStyle w:val="Normal.0"/>
        <w:shd w:val="clear" w:color="auto" w:fill="ffffff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Cette parcelle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tant fortement arbor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e, et comprenant un jardin relativement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tendu, situ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dans un quartier o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la trame verte est forte heureusement encore bien conserv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e, on ne peut exclure la 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senc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autres esp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ces animales et v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tales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sensibles, voir sur Liste Rouge. Avant de proc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der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une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destruction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quasi totale de la parcelle il conviendrait qu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un biologiste se rendre sur place afin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valuer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tat de la biodiversit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sur celle-ci.</w:t>
      </w:r>
    </w:p>
    <w:p>
      <w:pPr>
        <w:pStyle w:val="Normal.0"/>
        <w:shd w:val="clear" w:color="auto" w:fill="ffffff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Style w:val="Aucun"/>
        </w:rPr>
      </w:pPr>
      <w:r>
        <w:rPr>
          <w:rStyle w:val="Aucun"/>
          <w:b w:val="1"/>
          <w:bCs w:val="1"/>
          <w:rtl w:val="0"/>
          <w:lang w:val="fr-FR"/>
        </w:rPr>
        <w:t>5</w:t>
      </w:r>
      <w:r>
        <w:rPr>
          <w:rStyle w:val="Aucun"/>
          <w:b w:val="1"/>
          <w:bCs w:val="1"/>
          <w:rtl w:val="0"/>
          <w:lang w:val="fr-FR"/>
        </w:rPr>
        <w:t>.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Pr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servation de pleine terre</w:t>
      </w:r>
    </w:p>
    <w:p>
      <w:pPr>
        <w:pStyle w:val="Normal.0"/>
        <w:shd w:val="clear" w:color="auto" w:fill="ffffff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augmentation de la min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ralisation de la parcelle et la perte d'une vaste surface de pleine terre aura des cons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quences 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fastes pour notre commune,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confront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aux impacts d'une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tonnisation excessive. La topographie en forte pente de Pully requiert la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servation d'une quantit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maximale de terre perm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able pour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viter un ruissellement excessif des eaux de pluie. Actuellement, ces eaux ne peuvent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plus s'infiltrer naturellement, provoquant des probl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 d'infiltration et d'humidit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de nombreux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timents de la commune.</w:t>
      </w:r>
    </w:p>
    <w:p>
      <w:pPr>
        <w:pStyle w:val="Normal.0"/>
        <w:shd w:val="clear" w:color="auto" w:fill="ffffff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Nous demandons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Municipalit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rifier que les 50% de pleine terre exig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sont respect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appliquer l'article 47 de la loi sur l'am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nagement du territoire et les constructions, refusant ainsi ce projet tel quel et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servant ainsi l'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quilibre environnemental et la qualit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vie locale.</w:t>
      </w:r>
    </w:p>
    <w:p>
      <w:pPr>
        <w:pStyle w:val="Normal.0"/>
        <w:shd w:val="clear" w:color="auto" w:fill="ffffff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rtl w:val="0"/>
          <w:lang w:val="fr-FR"/>
        </w:rPr>
        <w:t>6</w:t>
      </w:r>
      <w:r>
        <w:rPr>
          <w:rStyle w:val="Aucun"/>
          <w:b w:val="1"/>
          <w:bCs w:val="1"/>
          <w:rtl w:val="0"/>
          <w:lang w:val="fr-FR"/>
        </w:rPr>
        <w:t>.</w:t>
      </w:r>
      <w:r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Stationnement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Le projet 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voit 10 places de stationnement. Or la commune de Pully est dans son ensemble tr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 bien desservie en transport public. Cette parcelle se situe entre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arr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 de bus Cf Ramuz au nord et les arr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ts Bourdonni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re et Chata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gniers sur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avenue G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ral Guisan au sud. En raison de la proximit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des transports publics, il devrait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tre envisageable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appliquer la norme VSS 40282 concernant les places de stationnement, qui 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voit qu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une 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duction du nombre de places voir un abandon total de stationnement est possible. Dans ce cas, la suppression des deux places de stationnement ext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rieures permettrait de maintenir le chataignier et le prunus en place, et de conserver plus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espace vert non min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ral.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Le b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 xml:space="preserve">timent </w:t>
      </w:r>
      <w:r>
        <w:rPr>
          <w:rStyle w:val="Aucun"/>
          <w:rtl w:val="0"/>
          <w:lang w:val="fr-FR"/>
        </w:rPr>
        <w:t>projet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 se situe sur une parcelle colloqu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en zone de moyenne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densit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degr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sensibilit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 bruit II. La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 de 10 places de stationnement augmenter</w:t>
      </w:r>
      <w:r>
        <w:rPr>
          <w:rStyle w:val="Aucun"/>
          <w:rtl w:val="0"/>
          <w:lang w:val="fr-FR"/>
        </w:rPr>
        <w:t>a</w:t>
      </w:r>
      <w:r>
        <w:rPr>
          <w:rStyle w:val="Aucun"/>
          <w:rtl w:val="0"/>
          <w:lang w:val="fr-FR"/>
        </w:rPr>
        <w:t xml:space="preserve"> le trafic journalier moyen, ce qui aura un impact fort sur les nuisances sonores et la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routi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re, notamment sur le chemin de Chamblandes, class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en zone 30 km/h et ne disposant pas de trottoirs. 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rtl w:val="0"/>
          <w:lang w:val="fr-FR"/>
        </w:rPr>
        <w:t>Nous nous questionnions sur le respect des valeurs limites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immission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? Une analyse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avec une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tude de mobilit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doit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mandat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et jointe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demande de permis de construire pour mesurer les impacts des constructions projet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es. De plus,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angle au  carrefour Chemin de Chamblandes-Chemin de Tourronde, est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extr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mement serr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la chauss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particuli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rement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troite limite la visibilit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les man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uvres de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hicules. Ce qui est incompatible avec un projet de cette ampleur.</w:t>
      </w:r>
    </w:p>
    <w:p>
      <w:pPr>
        <w:pStyle w:val="Normal.0"/>
        <w:jc w:val="both"/>
        <w:rPr>
          <w:rStyle w:val="Aucun"/>
        </w:rPr>
      </w:pPr>
    </w:p>
    <w:p>
      <w:pPr>
        <w:pStyle w:val="Normal.0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rtl w:val="0"/>
          <w:lang w:val="fr-FR"/>
        </w:rPr>
        <w:t>7</w:t>
      </w:r>
      <w:r>
        <w:rPr>
          <w:rStyle w:val="Aucun"/>
          <w:b w:val="1"/>
          <w:bCs w:val="1"/>
          <w:rtl w:val="0"/>
          <w:lang w:val="fr-FR"/>
        </w:rPr>
        <w:t xml:space="preserve">. 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alisation des b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timents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secteur de la construction est une des 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humaines ayant le plus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impact sur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environnement et contribue massivement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destruction des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cosyst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mes. En Suisse le secteur de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timent repr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sente 40% de la demande en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nergie et 25% des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missions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de CO2 ( Publication 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°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62 Habitat Durable, juin 2021,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emploi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vers une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conomie circulaire de construction</w:t>
      </w:r>
      <w:r>
        <w:rPr>
          <w:rStyle w:val="Aucun"/>
          <w:rtl w:val="0"/>
          <w:lang w:val="fr-FR"/>
        </w:rPr>
        <w:t>).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'industrie du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ton est quant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elle responsable de 8% des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missions mondiales de CO2. Ce mat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riau est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trop souvent utilis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des projets qui pourraient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passer, tels que villas et immeubles. Le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ton devrait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aux ouvrages impossibles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aliser autrement ( comme les barrages par exemple).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le contexte climatique actuel, plut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que de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molir des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timents fonctionnels, nous pensons qu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est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rable de valoriser les constructions existantes en proposant des extensions et des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novations, de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chir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solutions de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emploi des mat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riaux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sents sur le site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construire plut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que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molir)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de privil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utilisation de mat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riaux durables qui peuvent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galement convenir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timents de grandes tailles ( ossature bois, terre crue, pis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paille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).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Un diagnostic du potentiel de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emploi peut-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envisag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avant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molition. Encourager un pourcentage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utilisation de mat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riaux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employ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pourrait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une exigence de la commune. Ue interpellation avait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ailleurs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au Conseil 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 en 2020 par Ad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Thorens dans ce sens.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Nous sommes conscientes que ces solutions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inhabituelles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pour certaines entreprises peuvent para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tre co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teuses et fastidieuses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mettre en place car peu connues de leurs services, mais des changements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habitudes sont possibles et sont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mises en pratiques efficacement dans certains projets. De plus en plus de bureaux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architectes conscients de la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cessit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de rapidement 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adapter au contexte environnemental actuel se sp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cialisent avec succ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s dans ce type de constructions qui comportent une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elle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plus-value par la suite. 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De bons exemples existent en Suisse et ailleurs.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Nous pouvons volontiers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changer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ce sujet ou faciliter la mise en contact avec des personnes qui ont pu appliquer concr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tement des solutions de constructions imaginatives et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impact moindre.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Dans le cas de Chamblandes 35, si la structure et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tat du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timent le permettent, il doit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tre possible de faire preuve de cr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ativit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et de partir du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timent actuel afin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augmenter sa surface habitable. Une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sur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vation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ou une extension avec des m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thodes et mat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riaux tel que cit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 au pr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alable devrait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tre envisag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e. Ceci permettrait de maintenir en partie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aspect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caract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ristique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du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timent,  tout en y incluant une touche de  modernit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et des logements suppl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mentaires, ainsi que de limiter 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impact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environnemental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du chantier.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Si la construction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un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timent enti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rement neuf reste la solution envisag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e, alors celui-ce pourrait respecter les volumes et formes de la maison actuelle et faire usage de mat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riaux durables. Ceci permettrait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au projet  de mieux 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int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grer dans le quartier et de  ne pas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tre une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ni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r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plique des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timents aseptis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s, sans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mes et con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us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moindre co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 et qui fleurissent partout.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Nous attirons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galement votre attention sur le fait que les surface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di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es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habitat ont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norm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ment augment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es les 30 derni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res ann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es. Revenir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des logements de tailles plus raisonnables qui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tait usuelles en Suisse ne serait-ce que dans les ann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es 90, permettrait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augmenter les capacit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s de logement de la Suisse sans augmenter le mitage du territoire et la diminution des espaces verts. Ainsi un b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ti de qualit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int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grant des espaces verts et offrant de bonnes conditions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habitat peut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tre maintenu, tout comme le requi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re la LAT, </w:t>
      </w:r>
    </w:p>
    <w:p>
      <w:pPr>
        <w:pStyle w:val="Normal.0"/>
        <w:jc w:val="both"/>
        <w:rPr>
          <w:rStyle w:val="Aucun"/>
        </w:rPr>
      </w:pPr>
    </w:p>
    <w:p>
      <w:pPr>
        <w:pStyle w:val="Normal.0"/>
        <w:jc w:val="both"/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rtl w:val="0"/>
          <w:lang w:val="fr-FR"/>
        </w:rPr>
        <w:t>8</w:t>
      </w:r>
      <w:r>
        <w:rPr>
          <w:rStyle w:val="Aucun"/>
          <w:b w:val="1"/>
          <w:bCs w:val="1"/>
          <w:rtl w:val="0"/>
          <w:lang w:val="fr-FR"/>
        </w:rPr>
        <w:t xml:space="preserve">. 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Conservation du patrimoine b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 et de l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aspect 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caract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ristique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de la commune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Comme cela est mentionn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dans les suggestions de modifications du RCATC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devient urgent de sauvegarder les derni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 villas embl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matiques de Pully, contribuant au charme et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attractivit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la commune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Le paysage pull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rian a subi une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gradation croissante ces derni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 ann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es, suscitant le regret de nombreux habitant.es face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constructions sans consid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pour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environnement et qui ne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grent pas dans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architecture et le paysage originel de la commune.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Les motions et postulats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derni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rement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appellent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"freiner la disparition des villas, class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ou non" et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"r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duire l'attrait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conomique de leur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molition".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plus, conform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l'article 69 du RPGA,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«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les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constructions,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transformations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ou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molitions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susceptibles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de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compromettre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aspect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et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le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caract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re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un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quartier,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un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site,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une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place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ou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une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rue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(...) sont interdites. </w:t>
      </w:r>
      <w:r>
        <w:rPr>
          <w:rStyle w:val="Aucu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»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la situation 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cologique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actuelle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et reconnue par la Suisse, tous les projets menacent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aspect et la nature de tous les quartiers et sites en Suisse.</w:t>
      </w:r>
      <w:r>
        <w:rPr>
          <w:rStyle w:val="Aucun"/>
          <w:rtl w:val="0"/>
          <w:lang w:val="fr-FR"/>
        </w:rPr>
        <w:t xml:space="preserve"> La loi sur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nagement du territoire et les constructions (LATC) du 4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cembre 1985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 (Art. 86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 ):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rtl w:val="0"/>
          <w:lang w:val="fr-FR"/>
        </w:rPr>
        <w:t>1. La municipalit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veille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 que les constructions, (...), ainsi que les 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nagements qui leur sont 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sentent un aspect architectural satisfaisant et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grent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environnement. 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rtl w:val="0"/>
          <w:lang w:val="fr-FR"/>
        </w:rPr>
        <w:t>2. Elle refuse le permis pour les constructions ou les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molitions susceptibles de compromettre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aspect et le caract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site,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localit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quartier ou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une rue, ou de nuire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aspect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difice de valeur historique, artistique ou culturelle. 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rtl w:val="0"/>
          <w:lang w:val="fr-FR"/>
        </w:rPr>
        <w:t>3. Les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glements communaux doivent contenir des dispositions en vue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viter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enlaidissement des localit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et de leurs abords. 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shd w:val="clear" w:color="auto" w:fill="ffffff"/>
          <w:rtl w:val="0"/>
          <w:lang w:val="fr-FR"/>
        </w:rPr>
        <w:t xml:space="preserve">Le </w:t>
      </w:r>
      <w:r>
        <w:rPr>
          <w:rStyle w:val="Aucun"/>
          <w:shd w:val="clear" w:color="auto" w:fill="ffffff"/>
          <w:rtl w:val="0"/>
          <w:lang w:val="fr-FR"/>
        </w:rPr>
        <w:t>b</w:t>
      </w:r>
      <w:r>
        <w:rPr>
          <w:rStyle w:val="Aucun"/>
          <w:shd w:val="clear" w:color="auto" w:fill="ffffff"/>
          <w:rtl w:val="0"/>
          <w:lang w:val="fr-FR"/>
        </w:rPr>
        <w:t>â</w:t>
      </w:r>
      <w:r>
        <w:rPr>
          <w:rStyle w:val="Aucun"/>
          <w:shd w:val="clear" w:color="auto" w:fill="ffffff"/>
          <w:rtl w:val="0"/>
          <w:lang w:val="fr-FR"/>
        </w:rPr>
        <w:t>timent</w:t>
      </w:r>
      <w:r>
        <w:rPr>
          <w:rStyle w:val="Aucun"/>
          <w:shd w:val="clear" w:color="auto" w:fill="ffffff"/>
          <w:rtl w:val="0"/>
          <w:lang w:val="fr-FR"/>
        </w:rPr>
        <w:t xml:space="preserve"> existant est caract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ristique du d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veloppement du Chemin de Chamblandes entre la fin du XIX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>me si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>cle et le premier tiers du XX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>me si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>cle. Il s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inscrit en coh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rence avec les autres b</w:t>
      </w:r>
      <w:r>
        <w:rPr>
          <w:rStyle w:val="Aucun"/>
          <w:shd w:val="clear" w:color="auto" w:fill="ffffff"/>
          <w:rtl w:val="0"/>
          <w:lang w:val="fr-FR"/>
        </w:rPr>
        <w:t>â</w:t>
      </w:r>
      <w:r>
        <w:rPr>
          <w:rStyle w:val="Aucun"/>
          <w:shd w:val="clear" w:color="auto" w:fill="ffffff"/>
          <w:rtl w:val="0"/>
          <w:lang w:val="fr-FR"/>
        </w:rPr>
        <w:t xml:space="preserve">tisses construites </w:t>
      </w:r>
      <w:r>
        <w:rPr>
          <w:rStyle w:val="Aucun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shd w:val="clear" w:color="auto" w:fill="ffffff"/>
          <w:rtl w:val="0"/>
          <w:lang w:val="fr-FR"/>
        </w:rPr>
        <w:t>cette p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 xml:space="preserve">riode. </w:t>
      </w:r>
      <w:r>
        <w:rPr>
          <w:rStyle w:val="Aucun"/>
          <w:rtl w:val="0"/>
          <w:lang w:val="fr-FR"/>
        </w:rPr>
        <w:t>Le projet propos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affecterait par cons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quence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identit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architecturale du quartier et en application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art.86 al.2 de la LATC, le permis doit donc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refus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servation de la maison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ou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partie de la maison avec des solutions telles qu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voqu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plus haut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de son jardin et des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timents environnants datant de la 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poque contribue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conservation du patrimoine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 de Pully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Cela permettra de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mainten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ir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unit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architecturale dans la rue et le quartier qui sont class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en moyenne densit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Autoriser cette construction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mesur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naturerait l'ensemble des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timents existants.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Comme sugg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CCU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et par notre association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la cr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ation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une extension ou un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rehaussement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pourrait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une solution architecturale int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ressante permettant de valoriser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existant et tout de 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proposer des logements suppl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mentaires.</w:t>
      </w:r>
    </w:p>
    <w:p>
      <w:pPr>
        <w:pStyle w:val="Normal.0"/>
        <w:jc w:val="both"/>
        <w:rPr>
          <w:rStyle w:val="Aucun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Style w:val="Aucu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rtl w:val="0"/>
          <w:lang w:val="fr-FR"/>
        </w:rPr>
        <w:t>9</w:t>
      </w:r>
      <w:r>
        <w:rPr>
          <w:rStyle w:val="Aucun"/>
          <w:b w:val="1"/>
          <w:bCs w:val="1"/>
          <w:rtl w:val="0"/>
          <w:lang w:val="fr-FR"/>
        </w:rPr>
        <w:t>.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Communication de la Municipalit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 Conseil Communal No 06-2023</w:t>
      </w:r>
    </w:p>
    <w:p>
      <w:pPr>
        <w:pStyle w:val="Normal.0"/>
        <w:shd w:val="clear" w:color="auto" w:fill="ffffff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Plusieurs postulats et motions demandant un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examen approfondi de la politique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urbanisme de la commune lors de la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vision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vue du Plan directeur et du Plan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nagement de la commune de Pully ont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approuv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massivement par le Conseil communal en mars 2023. Ces motions et postulats sont le reflet de la volont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des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occupations de la population. La Municipalit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pondu comme suit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aux motions  N</w:t>
      </w:r>
      <w:r>
        <w:rPr>
          <w:rStyle w:val="Aucun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 (2021-2026)</w:t>
      </w:r>
      <w:r>
        <w:rPr>
          <w:rStyle w:val="Aucun"/>
          <w:i w:val="1"/>
          <w:iCs w:val="1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1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et N</w:t>
      </w:r>
      <w:r>
        <w:rPr>
          <w:rStyle w:val="Aucun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 (2021-2026)</w:t>
      </w:r>
      <w:r>
        <w:rPr>
          <w:rStyle w:val="Aucun"/>
          <w:i w:val="1"/>
          <w:iCs w:val="1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2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 et aux deux postulats N</w:t>
      </w:r>
      <w:r>
        <w:rPr>
          <w:rStyle w:val="Aucun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11</w:t>
      </w:r>
      <w:r>
        <w:rPr>
          <w:rStyle w:val="Aucu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3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et N</w:t>
      </w:r>
      <w:r>
        <w:rPr>
          <w:rStyle w:val="Aucun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12</w:t>
      </w:r>
      <w:r>
        <w:rPr>
          <w:rStyle w:val="Aucu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4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 dans sa 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Communication N</w:t>
      </w:r>
      <w:r>
        <w:rPr>
          <w:rStyle w:val="Aucun"/>
          <w:b w:val="1"/>
          <w:bCs w:val="1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o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06-2023</w:t>
      </w:r>
      <w:r>
        <w:rPr>
          <w:rStyle w:val="Aucun"/>
          <w:b w:val="1"/>
          <w:bCs w:val="1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5"/>
      </w:r>
    </w:p>
    <w:p>
      <w:pPr>
        <w:pStyle w:val="Normal.0"/>
        <w:shd w:val="clear" w:color="auto" w:fill="ffffff"/>
        <w:jc w:val="both"/>
        <w:rPr>
          <w:rStyle w:val="Aucu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Concernant les motions Logoz et Bru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̈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ndler, elles trouveront leur comple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̀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 re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ponse dans le pre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avis relatif a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re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vision du plan d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affectation communal et de son re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̀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glement sur les constructions (RCATC)</w:t>
      </w:r>
      <w:r>
        <w:rPr>
          <w:rStyle w:val="Aucun"/>
          <w:i w:val="1"/>
          <w:iCs w:val="1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6"/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attendant l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laboration de ces documents, la Municipalite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́ 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entend mettre en place une zone re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serve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sur l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ensemble du territoire communal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a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exception des pe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rime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̀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tres des plans d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affectation en cours d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laboration. </w:t>
      </w:r>
    </w:p>
    <w:p>
      <w:pPr>
        <w:pStyle w:val="Normal.0"/>
        <w:shd w:val="clear" w:color="auto" w:fill="ffffff"/>
        <w:jc w:val="both"/>
        <w:rPr>
          <w:rStyle w:val="Aucu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re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̀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glement de la zone re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permettra les re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alisations suivantes : 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ind w:right="0"/>
        <w:jc w:val="both"/>
        <w:rPr>
          <w:i w:val="1"/>
          <w:iCs w:val="1"/>
          <w:rtl w:val="0"/>
          <w:lang w:val="fr-FR"/>
        </w:rPr>
      </w:pP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entretien et la re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novation des ba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̂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timents ; 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ind w:right="0"/>
        <w:jc w:val="both"/>
        <w:rPr>
          <w:i w:val="1"/>
          <w:iCs w:val="1"/>
          <w:rtl w:val="0"/>
          <w:lang w:val="fr-FR"/>
        </w:rPr>
      </w:pP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sure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vations (dans les limites du re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̀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glement communal sur l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ame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nagement du territoire et les constructions) ; 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ind w:right="0"/>
        <w:jc w:val="both"/>
        <w:rPr>
          <w:rtl w:val="0"/>
          <w:lang w:val="fr-FR"/>
        </w:rPr>
      </w:pP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extensions, les de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molitions-reconstructions et les nouvelles constructions qui respectent un indice minimal de pleine terre de 50%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</w:t>
      </w:r>
    </w:p>
    <w:p>
      <w:pPr>
        <w:pStyle w:val="Normal.0"/>
        <w:shd w:val="clear" w:color="auto" w:fill="ffffff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plus loin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ici a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mise en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uvre de la zone re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la Municipalite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́ 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appliquera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cas 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che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ant,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l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47 de la loi sur l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am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nagement du territoire et les constructions pour refuser les projets ne respectant pas les crite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̀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 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nonc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ci-dessus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zone re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serve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sera en vigueur jusqu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adoption du plan d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affectation communal re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vise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́ 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de son re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̀</w:t>
      </w:r>
      <w:r>
        <w:rPr>
          <w:rStyle w:val="Aucun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glement sur les constructions (RCATC)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</w:t>
      </w:r>
    </w:p>
    <w:p>
      <w:pPr>
        <w:pStyle w:val="Normal.0"/>
        <w:shd w:val="clear" w:color="auto" w:fill="ffffff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Conseil Communal ayant accept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avis N0 08-2023 portant sur un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tudes pour la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vision du Plan directeur communal et du Plan 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affectation de Pully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lors de sa 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 du 24 mai 2023, il peut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lors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consid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la zone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telle que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finie dans la communication N</w:t>
      </w:r>
      <w:r>
        <w:rPr>
          <w:rStyle w:val="Aucun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o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06-2023 de la Municipalit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effective.</w:t>
      </w:r>
    </w:p>
    <w:p>
      <w:pPr>
        <w:pStyle w:val="Normal.0"/>
        <w:shd w:val="clear" w:color="auto" w:fill="ffffff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ce contexte,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attribution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autorisation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alable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implantation 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assure pas au promoteur, selon la jurisprudence existante, que la configuration et la surface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implantation des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timents ne soit pas remise en cause lors de la demande de permis de construire.</w:t>
      </w:r>
    </w:p>
    <w:p>
      <w:pPr>
        <w:pStyle w:val="Normal.0"/>
        <w:shd w:val="clear" w:color="auto" w:fill="ffffff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Municipalit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soumis cette demande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implantation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alable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enqu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 publique alors que les motions et postulats qui lui ont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renvoy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par le Conseil communal expriment la volont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celui-ci de suspendre les projets de constructions nouvelles sur le territoire communal, en attendant que le plan directeur et le plan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affectation soient approuv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par le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gislatif de Pully.</w:t>
      </w:r>
    </w:p>
    <w:p>
      <w:pPr>
        <w:pStyle w:val="Normal.0"/>
        <w:shd w:val="clear" w:color="auto" w:fill="ffffff"/>
        <w:jc w:val="both"/>
        <w:rPr>
          <w:rStyle w:val="Aucun"/>
          <w:shd w:val="nil" w:color="auto" w:fill="auto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ventuelle autorisation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implantation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alable par la Municipalit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ainsi sans valeur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nous demandons donc que la Municipalit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invoque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Art. 47 de la loi sur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nagement du territoire et les constructions (LATC) et refuse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accorder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autorisation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alable demand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pour des constructions futures sur la parcelle 1907 .</w:t>
      </w:r>
    </w:p>
    <w:p>
      <w:pPr>
        <w:pStyle w:val="Normal.0"/>
        <w:jc w:val="both"/>
        <w:rPr>
          <w:rStyle w:val="Aucun"/>
          <w:b w:val="1"/>
          <w:b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Conclusion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Nous aimerions que les possibilit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aliser un projet moins impactant pour la biodiversit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ainsi que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environnement et permettant de conserver le patrimoine arbor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soi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envisag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es. Ceci afin de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maintenir une qualit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vie en milieu urbain pour les habitantes et habitants et d'aller vers des villes capables de s'adapter aux changements climatiques.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association PUHI demande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Municipalit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maintienne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sa position initiale et refuse le permis de construire qui ne contient que peu d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am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liorations quant au premier projet.</w:t>
      </w:r>
    </w:p>
    <w:p>
      <w:pPr>
        <w:pStyle w:val="Normal.0"/>
        <w:jc w:val="both"/>
        <w:rPr>
          <w:rStyle w:val="Aucun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vous remerciant pour la suite que vous donnerez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courrier, nous vous prions de recevoir, Mesdames, Monsieur, nos sinc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salutations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Association PUHI, Pour un Urbanisme Harmonieux et Imaginatif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14287"/>
      </w:tabs>
      <w:jc w:val="right"/>
    </w:pPr>
    <w:r>
      <w:rPr>
        <w:rStyle w:val="Aucun"/>
      </w:rPr>
      <w:fldChar w:fldCharType="begin" w:fldLock="0"/>
    </w:r>
    <w:r>
      <w:rPr>
        <w:rStyle w:val="Aucun"/>
      </w:rPr>
      <w:instrText xml:space="preserve"> PAGE </w:instrText>
    </w:r>
    <w:r>
      <w:rPr>
        <w:rStyle w:val="Aucun"/>
      </w:rPr>
      <w:fldChar w:fldCharType="separate" w:fldLock="0"/>
    </w:r>
    <w:r>
      <w:rPr>
        <w:rStyle w:val="Aucun"/>
      </w:rPr>
    </w:r>
    <w:r>
      <w:rPr>
        <w:rStyle w:val="Aucun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Aucun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lang w:val="fr-FR"/>
          <w14:textFill>
            <w14:solidFill>
              <w14:srgbClr w14:val="000000"/>
            </w14:solidFill>
          </w14:textFill>
        </w:rPr>
        <w:footnoteRef/>
      </w:r>
      <w:r>
        <w:rPr>
          <w:rStyle w:val="Aucun"/>
          <w:rFonts w:cs="Arial Unicode MS" w:eastAsia="Arial Unicode MS"/>
          <w:rtl w:val="0"/>
          <w:lang w:val="fr-FR"/>
        </w:rPr>
        <w:t xml:space="preserve"> Motion n</w:t>
      </w:r>
      <w:r>
        <w:rPr>
          <w:rStyle w:val="Aucun"/>
          <w:rFonts w:cs="Arial Unicode MS" w:eastAsia="Arial Unicode MS"/>
          <w:vertAlign w:val="superscript"/>
          <w:rtl w:val="0"/>
          <w:lang w:val="fr-FR"/>
        </w:rPr>
        <w:t>o</w:t>
      </w:r>
      <w:r>
        <w:rPr>
          <w:rStyle w:val="Aucun"/>
          <w:rFonts w:cs="Arial Unicode MS" w:eastAsia="Arial Unicode MS"/>
          <w:rtl w:val="0"/>
          <w:lang w:val="fr-FR"/>
        </w:rPr>
        <w:t>1 (2021-2026)</w:t>
      </w:r>
      <w:r>
        <w:rPr>
          <w:rStyle w:val="Aucun"/>
          <w:rFonts w:cs="Arial Unicode MS" w:eastAsia="Arial Unicode MS" w:hint="default"/>
          <w:rtl w:val="0"/>
          <w:lang w:val="fr-FR"/>
        </w:rPr>
        <w:t> </w:t>
      </w:r>
      <w:r>
        <w:rPr>
          <w:rStyle w:val="Aucun"/>
          <w:rFonts w:cs="Arial Unicode MS" w:eastAsia="Arial Unicode MS"/>
          <w:rtl w:val="0"/>
          <w:lang w:val="fr-FR"/>
        </w:rPr>
        <w:t>: Quelques adaptations minimales du RCATC</w:t>
      </w:r>
      <w:r>
        <w:rPr>
          <w:rStyle w:val="Aucun"/>
          <w:rFonts w:cs="Arial Unicode MS" w:eastAsia="Arial Unicode MS" w:hint="default"/>
          <w:rtl w:val="0"/>
          <w:lang w:val="fr-FR"/>
        </w:rPr>
        <w:t> </w:t>
      </w:r>
      <w:r>
        <w:rPr>
          <w:rStyle w:val="Aucun"/>
          <w:rFonts w:cs="Arial Unicode MS" w:eastAsia="Arial Unicode MS"/>
          <w:rtl w:val="0"/>
          <w:lang w:val="fr-FR"/>
        </w:rPr>
        <w:t>; Logoz&amp;consorts</w:t>
      </w:r>
    </w:p>
  </w:footnote>
  <w:footnote w:id="2">
    <w:p>
      <w:pPr>
        <w:pStyle w:val="footnote text"/>
      </w:pPr>
      <w:r>
        <w:rPr>
          <w:rStyle w:val="Aucun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lang w:val="fr-FR"/>
          <w14:textFill>
            <w14:solidFill>
              <w14:srgbClr w14:val="000000"/>
            </w14:solidFill>
          </w14:textFill>
        </w:rPr>
        <w:footnoteRef/>
      </w:r>
      <w:r>
        <w:rPr>
          <w:rStyle w:val="Aucun"/>
          <w:rFonts w:cs="Arial Unicode MS" w:eastAsia="Arial Unicode MS"/>
          <w:rtl w:val="0"/>
          <w:lang w:val="fr-FR"/>
        </w:rPr>
        <w:t xml:space="preserve"> Motion n</w:t>
      </w:r>
      <w:r>
        <w:rPr>
          <w:rStyle w:val="Aucun"/>
          <w:rFonts w:cs="Arial Unicode MS" w:eastAsia="Arial Unicode MS"/>
          <w:vertAlign w:val="superscript"/>
          <w:rtl w:val="0"/>
          <w:lang w:val="fr-FR"/>
        </w:rPr>
        <w:t>o</w:t>
      </w:r>
      <w:r>
        <w:rPr>
          <w:rStyle w:val="Aucun"/>
          <w:rFonts w:cs="Arial Unicode MS" w:eastAsia="Arial Unicode MS"/>
          <w:rtl w:val="0"/>
          <w:lang w:val="fr-FR"/>
        </w:rPr>
        <w:t xml:space="preserve"> 2 (2021-2026)</w:t>
      </w:r>
      <w:r>
        <w:rPr>
          <w:rStyle w:val="Aucun"/>
          <w:rFonts w:cs="Arial Unicode MS" w:eastAsia="Arial Unicode MS" w:hint="default"/>
          <w:rtl w:val="0"/>
          <w:lang w:val="fr-FR"/>
        </w:rPr>
        <w:t> </w:t>
      </w:r>
      <w:r>
        <w:rPr>
          <w:rStyle w:val="Aucun"/>
          <w:rFonts w:cs="Arial Unicode MS" w:eastAsia="Arial Unicode MS"/>
          <w:rtl w:val="0"/>
          <w:lang w:val="fr-FR"/>
        </w:rPr>
        <w:t>: Quelques adaptations compl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mentaires et capitales du RCATC</w:t>
      </w:r>
      <w:r>
        <w:rPr>
          <w:rStyle w:val="Aucun"/>
          <w:rFonts w:cs="Arial Unicode MS" w:eastAsia="Arial Unicode MS" w:hint="default"/>
          <w:rtl w:val="0"/>
          <w:lang w:val="fr-FR"/>
        </w:rPr>
        <w:t> </w:t>
      </w:r>
      <w:r>
        <w:rPr>
          <w:rStyle w:val="Aucun"/>
          <w:rFonts w:cs="Arial Unicode MS" w:eastAsia="Arial Unicode MS"/>
          <w:rtl w:val="0"/>
          <w:lang w:val="fr-FR"/>
        </w:rPr>
        <w:t>; Br</w:t>
      </w:r>
      <w:r>
        <w:rPr>
          <w:rStyle w:val="Aucun"/>
          <w:rFonts w:cs="Arial Unicode MS" w:eastAsia="Arial Unicode MS" w:hint="default"/>
          <w:rtl w:val="0"/>
          <w:lang w:val="fr-FR"/>
        </w:rPr>
        <w:t>ü</w:t>
      </w:r>
      <w:r>
        <w:rPr>
          <w:rStyle w:val="Aucun"/>
          <w:rFonts w:cs="Arial Unicode MS" w:eastAsia="Arial Unicode MS"/>
          <w:rtl w:val="0"/>
          <w:lang w:val="fr-FR"/>
        </w:rPr>
        <w:t>ndler&amp;consorts</w:t>
      </w:r>
    </w:p>
  </w:footnote>
  <w:footnote w:id="3">
    <w:p>
      <w:pPr>
        <w:pStyle w:val="footnote text"/>
      </w:pPr>
      <w:r>
        <w:rPr>
          <w:rStyle w:val="Aucun"/>
          <w:outline w:val="0"/>
          <w:color w:val="000000"/>
          <w:sz w:val="22"/>
          <w:szCs w:val="22"/>
          <w:u w:color="000000"/>
          <w:vertAlign w:val="superscript"/>
          <w:lang w:val="fr-FR"/>
          <w14:textFill>
            <w14:solidFill>
              <w14:srgbClr w14:val="000000"/>
            </w14:solidFill>
          </w14:textFill>
        </w:rPr>
        <w:footnoteRef/>
      </w:r>
      <w:r>
        <w:rPr>
          <w:rStyle w:val="Aucun"/>
          <w:rFonts w:cs="Arial Unicode MS" w:eastAsia="Arial Unicode MS"/>
          <w:rtl w:val="0"/>
          <w:lang w:val="fr-FR"/>
        </w:rPr>
        <w:t xml:space="preserve"> Postulat n</w:t>
      </w:r>
      <w:r>
        <w:rPr>
          <w:rStyle w:val="Aucun"/>
          <w:rFonts w:cs="Arial Unicode MS" w:eastAsia="Arial Unicode MS"/>
          <w:vertAlign w:val="superscript"/>
          <w:rtl w:val="0"/>
          <w:lang w:val="fr-FR"/>
        </w:rPr>
        <w:t>o</w:t>
      </w:r>
      <w:r>
        <w:rPr>
          <w:rStyle w:val="Aucun"/>
          <w:rFonts w:cs="Arial Unicode MS" w:eastAsia="Arial Unicode MS"/>
          <w:rtl w:val="0"/>
          <w:lang w:val="fr-FR"/>
        </w:rPr>
        <w:t>11 (2021-2026)</w:t>
      </w:r>
      <w:r>
        <w:rPr>
          <w:rStyle w:val="Aucun"/>
          <w:rFonts w:cs="Arial Unicode MS" w:eastAsia="Arial Unicode MS" w:hint="default"/>
          <w:rtl w:val="0"/>
          <w:lang w:val="fr-FR"/>
        </w:rPr>
        <w:t> </w:t>
      </w:r>
      <w:r>
        <w:rPr>
          <w:rStyle w:val="Aucun"/>
          <w:rFonts w:cs="Arial Unicode MS" w:eastAsia="Arial Unicode MS"/>
          <w:rtl w:val="0"/>
          <w:lang w:val="fr-FR"/>
        </w:rPr>
        <w:t>: Vers un moratoire partiel sur les constructions par l</w:t>
      </w:r>
      <w:r>
        <w:rPr>
          <w:rStyle w:val="Aucun"/>
          <w:rFonts w:cs="Arial Unicode MS" w:eastAsia="Arial Unicode MS" w:hint="default"/>
          <w:rtl w:val="0"/>
          <w:lang w:val="fr-FR"/>
        </w:rPr>
        <w:t>’é</w:t>
      </w:r>
      <w:r>
        <w:rPr>
          <w:rStyle w:val="Aucun"/>
          <w:rFonts w:cs="Arial Unicode MS" w:eastAsia="Arial Unicode MS"/>
          <w:rtl w:val="0"/>
          <w:lang w:val="fr-FR"/>
        </w:rPr>
        <w:t>tablissement de zones r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serv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es</w:t>
      </w:r>
      <w:r>
        <w:rPr>
          <w:rStyle w:val="Aucun"/>
          <w:rFonts w:cs="Arial Unicode MS" w:eastAsia="Arial Unicode MS" w:hint="default"/>
          <w:rtl w:val="0"/>
          <w:lang w:val="fr-FR"/>
        </w:rPr>
        <w:t> </w:t>
      </w:r>
      <w:r>
        <w:rPr>
          <w:rStyle w:val="Aucun"/>
          <w:rFonts w:cs="Arial Unicode MS" w:eastAsia="Arial Unicode MS"/>
          <w:rtl w:val="0"/>
          <w:lang w:val="fr-FR"/>
        </w:rPr>
        <w:t>; Du Bois&amp;consorts</w:t>
      </w:r>
    </w:p>
  </w:footnote>
  <w:footnote w:id="4">
    <w:p>
      <w:pPr>
        <w:pStyle w:val="footnote text"/>
      </w:pPr>
      <w:r>
        <w:rPr>
          <w:rStyle w:val="Aucun"/>
          <w:outline w:val="0"/>
          <w:color w:val="000000"/>
          <w:sz w:val="22"/>
          <w:szCs w:val="22"/>
          <w:u w:color="000000"/>
          <w:vertAlign w:val="superscript"/>
          <w:lang w:val="fr-FR"/>
          <w14:textFill>
            <w14:solidFill>
              <w14:srgbClr w14:val="000000"/>
            </w14:solidFill>
          </w14:textFill>
        </w:rPr>
        <w:footnoteRef/>
      </w:r>
      <w:r>
        <w:rPr>
          <w:rStyle w:val="Aucun"/>
          <w:rFonts w:cs="Arial Unicode MS" w:eastAsia="Arial Unicode MS"/>
          <w:rtl w:val="0"/>
          <w:lang w:val="fr-FR"/>
        </w:rPr>
        <w:t xml:space="preserve"> Postulat n</w:t>
      </w:r>
      <w:r>
        <w:rPr>
          <w:rStyle w:val="Aucun"/>
          <w:rFonts w:cs="Arial Unicode MS" w:eastAsia="Arial Unicode MS"/>
          <w:vertAlign w:val="superscript"/>
          <w:rtl w:val="0"/>
          <w:lang w:val="fr-FR"/>
        </w:rPr>
        <w:t>o</w:t>
      </w:r>
      <w:r>
        <w:rPr>
          <w:rStyle w:val="Aucun"/>
          <w:rFonts w:cs="Arial Unicode MS" w:eastAsia="Arial Unicode MS"/>
          <w:rtl w:val="0"/>
          <w:lang w:val="fr-FR"/>
        </w:rPr>
        <w:t>12 (</w:t>
      </w:r>
      <w:r>
        <w:rPr>
          <w:rStyle w:val="Aucun"/>
          <w:rFonts w:cs="Arial Unicode MS" w:eastAsia="Arial Unicode MS" w:hint="default"/>
          <w:rtl w:val="0"/>
          <w:lang w:val="fr-FR"/>
        </w:rPr>
        <w:t>« </w:t>
      </w:r>
      <w:r>
        <w:rPr>
          <w:rStyle w:val="Aucun"/>
          <w:rFonts w:cs="Arial Unicode MS" w:eastAsia="Arial Unicode MS"/>
          <w:rtl w:val="0"/>
          <w:lang w:val="fr-FR"/>
        </w:rPr>
        <w:t>021-2026)</w:t>
      </w:r>
      <w:r>
        <w:rPr>
          <w:rStyle w:val="Aucun"/>
          <w:rFonts w:cs="Arial Unicode MS" w:eastAsia="Arial Unicode MS" w:hint="default"/>
          <w:rtl w:val="0"/>
          <w:lang w:val="fr-FR"/>
        </w:rPr>
        <w:t> </w:t>
      </w:r>
      <w:r>
        <w:rPr>
          <w:rStyle w:val="Aucun"/>
          <w:rFonts w:cs="Arial Unicode MS" w:eastAsia="Arial Unicode MS"/>
          <w:rtl w:val="0"/>
          <w:lang w:val="fr-FR"/>
        </w:rPr>
        <w:t>: Vers un moratoire partiel sur les PPA</w:t>
      </w:r>
      <w:r>
        <w:rPr>
          <w:rStyle w:val="Aucun"/>
          <w:rFonts w:cs="Arial Unicode MS" w:eastAsia="Arial Unicode MS" w:hint="default"/>
          <w:rtl w:val="0"/>
          <w:lang w:val="fr-FR"/>
        </w:rPr>
        <w:t> </w:t>
      </w:r>
      <w:r>
        <w:rPr>
          <w:rStyle w:val="Aucun"/>
          <w:rFonts w:cs="Arial Unicode MS" w:eastAsia="Arial Unicode MS"/>
          <w:rtl w:val="0"/>
          <w:lang w:val="fr-FR"/>
        </w:rPr>
        <w:t>; Tafelmacher&amp;consorts</w:t>
      </w:r>
    </w:p>
  </w:footnote>
  <w:footnote w:id="5">
    <w:p>
      <w:pPr>
        <w:pStyle w:val="footnote text"/>
      </w:pP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lang w:val="fr-FR"/>
          <w14:textFill>
            <w14:solidFill>
              <w14:srgbClr w14:val="000000"/>
            </w14:solidFill>
          </w14:textFill>
        </w:rPr>
        <w:footnoteRef/>
      </w:r>
      <w:r>
        <w:rPr>
          <w:rStyle w:val="Aucun"/>
          <w:rFonts w:cs="Arial Unicode MS" w:eastAsia="Arial Unicode MS"/>
          <w:rtl w:val="0"/>
          <w:lang w:val="fr-FR"/>
        </w:rPr>
        <w:t xml:space="preserve"> https://www.pully.ch/media/3149555/c_06-2023.pdf</w:t>
      </w:r>
    </w:p>
  </w:footnote>
  <w:footnote w:id="6">
    <w:p>
      <w:pPr>
        <w:pStyle w:val="footnote text"/>
      </w:pPr>
      <w:r>
        <w:rPr>
          <w:rStyle w:val="Aucun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lang w:val="fr-FR"/>
          <w14:textFill>
            <w14:solidFill>
              <w14:srgbClr w14:val="000000"/>
            </w14:solidFill>
          </w14:textFill>
        </w:rPr>
        <w:footnoteRef/>
      </w:r>
      <w:r>
        <w:rPr>
          <w:rStyle w:val="Aucun"/>
          <w:rFonts w:cs="Arial Unicode MS" w:eastAsia="Arial Unicode MS"/>
          <w:rtl w:val="0"/>
          <w:lang w:val="fr-FR"/>
        </w:rPr>
        <w:t xml:space="preserve"> Pr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avis au Conseil Communal No 08-2023 - https://www.pully.ch/media/3112127/p_08-2023.pdf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tabs>
          <w:tab w:val="num" w:pos="459"/>
        </w:tabs>
        <w:ind w:left="70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179"/>
        </w:tabs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1899"/>
        </w:tabs>
        <w:ind w:left="21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619"/>
        </w:tabs>
        <w:ind w:left="286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3339"/>
        </w:tabs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4059"/>
        </w:tabs>
        <w:ind w:left="430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779"/>
        </w:tabs>
        <w:ind w:left="50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5499"/>
        </w:tabs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6219"/>
        </w:tabs>
        <w:ind w:left="646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7143"/>
        <w:tab w:val="right" w:pos="14287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